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B5B21" w14:textId="4BE0A29F" w:rsidR="00106218" w:rsidRPr="00753507" w:rsidRDefault="00106218" w:rsidP="00106218">
      <w:pPr>
        <w:spacing w:line="235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1F3864" w:themeColor="accent1" w:themeShade="80"/>
          <w:sz w:val="28"/>
          <w:cs/>
        </w:rPr>
        <w:t>คำนิยาม</w:t>
      </w:r>
      <w:r w:rsidRPr="003E22C6">
        <w:rPr>
          <w:rFonts w:ascii="TH SarabunPSK" w:hAnsi="TH SarabunPSK" w:cs="TH SarabunPSK"/>
          <w:b/>
          <w:bCs/>
          <w:color w:val="1F3864" w:themeColor="accent1" w:themeShade="80"/>
          <w:sz w:val="28"/>
          <w:cs/>
        </w:rPr>
        <w:t>การท่องเที่ยวเชิงธุรกิจ</w:t>
      </w:r>
    </w:p>
    <w:p w14:paraId="24E3E89E" w14:textId="77777777" w:rsidR="00106218" w:rsidRPr="00753507" w:rsidRDefault="00106218" w:rsidP="0010621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53507">
        <w:rPr>
          <w:rFonts w:ascii="TH SarabunPSK" w:hAnsi="TH SarabunPSK" w:cs="TH SarabunPSK" w:hint="cs"/>
          <w:sz w:val="28"/>
          <w:cs/>
        </w:rPr>
        <w:t>นิยามเชิงแนวคิดที่ได้จากการศึกษา (</w:t>
      </w:r>
      <w:r w:rsidRPr="00753507">
        <w:rPr>
          <w:rFonts w:ascii="TH SarabunPSK" w:hAnsi="TH SarabunPSK" w:cs="TH SarabunPSK" w:hint="cs"/>
          <w:sz w:val="28"/>
        </w:rPr>
        <w:t>Conceptual Definition)</w:t>
      </w:r>
    </w:p>
    <w:p w14:paraId="565FB0F7" w14:textId="335FE222" w:rsidR="00106218" w:rsidRPr="00753507" w:rsidRDefault="00106218" w:rsidP="00106218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53507">
        <w:rPr>
          <w:rFonts w:ascii="TH SarabunPSK" w:hAnsi="TH SarabunPSK" w:cs="TH SarabunPSK" w:hint="cs"/>
          <w:sz w:val="28"/>
          <w:cs/>
        </w:rPr>
        <w:t>การท่องเที่ยวเชิงธุรกิจ หมายถึง ส่งเสริมให้ไทยเป็นจุดหมายปลายทาง</w:t>
      </w:r>
      <w:r w:rsidRPr="006E16F3">
        <w:rPr>
          <w:rFonts w:ascii="TH SarabunPSK" w:hAnsi="TH SarabunPSK" w:cs="TH SarabunPSK" w:hint="cs"/>
          <w:spacing w:val="-10"/>
          <w:sz w:val="28"/>
          <w:cs/>
        </w:rPr>
        <w:t>การท่องเที่ยวเชิงธุรกิจ ครอบคลุมการจัดประชุมองค์กรธุรกิจ จัดกิจกรรมการท่องเที่ยว</w:t>
      </w:r>
      <w:r w:rsidRPr="00753507">
        <w:rPr>
          <w:rFonts w:ascii="TH SarabunPSK" w:hAnsi="TH SarabunPSK" w:cs="TH SarabunPSK" w:hint="cs"/>
          <w:sz w:val="28"/>
          <w:cs/>
        </w:rPr>
        <w:t>เป็นรางวัล การประชุมวิชาชีพ การจัดงานแสดงสินค้านิทรรศการ การจัดการแข่งขันมหกรรมกีฬาทุกระดับ การท่องเที่ยวเชิงกีฬา กิจกรรมการฝึกซ้อมและการเก็บตัวนักกีฬา รวมถึงการพักผ่อนระหว่างหรือหลังการประกอบธุรกิจหรือการทำกิจกรรมต่าง ๆ</w:t>
      </w:r>
    </w:p>
    <w:p w14:paraId="3014DD15" w14:textId="77777777" w:rsidR="00106218" w:rsidRPr="00753507" w:rsidRDefault="00106218" w:rsidP="0010621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53507">
        <w:rPr>
          <w:rFonts w:ascii="TH SarabunPSK" w:hAnsi="TH SarabunPSK" w:cs="TH SarabunPSK" w:hint="cs"/>
          <w:sz w:val="28"/>
          <w:cs/>
        </w:rPr>
        <w:t>นิยามเชิงปฏิบัติการที่ได้จากการศึกษา (</w:t>
      </w:r>
      <w:r w:rsidRPr="00753507">
        <w:rPr>
          <w:rFonts w:ascii="TH SarabunPSK" w:hAnsi="TH SarabunPSK" w:cs="TH SarabunPSK" w:hint="cs"/>
          <w:sz w:val="28"/>
        </w:rPr>
        <w:t xml:space="preserve">Operational Definition) </w:t>
      </w:r>
    </w:p>
    <w:p w14:paraId="2B7230F1" w14:textId="77777777" w:rsidR="00106218" w:rsidRPr="00753507" w:rsidRDefault="00106218" w:rsidP="00106218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53507">
        <w:rPr>
          <w:rFonts w:ascii="TH SarabunPSK" w:hAnsi="TH SarabunPSK" w:cs="TH SarabunPSK" w:hint="cs"/>
          <w:sz w:val="28"/>
          <w:cs/>
        </w:rPr>
        <w:t>การท่องเที่ยวเชิงธุรกิจ หมายถึง การจัดประชุมองค์กรธุรกิจ การจัดกิจกรรมการท่องเที่ยวเป็นรางวัล การจัดประชุมวิชาชีพ การจัดประชุมทางวิชาการ การฝึกอบรม การจัดงานแสดงสินค้าและนิทรรศการที่นำไปสู่การส่งเสริมการค้าและการลงทุน การท่องเที่ยวเชิงกีฬา การจัดการแข่งขันมหกรรมกีฬาระดับนานาชาติและระดับชาติ กิจกรรมการฝึกซ้อมและการเก็บตัวนักกีฬา การฟื้นฟูสมรรถภาพร่างกายนักกีฬา การจัดมหรสพความบันเทิง รวมถึงการพักผ่อน และนันนทนาการที่เกิดขึ้นระหว่างหรือหลังการประกอบธุรกิจ หรือการทำกิจกรรมต่าง ๆ ที่สามารถดึงดูดกลุ่มนักเดินทางเพื่อธุรกิจและนักท่องเที่ยวเพื่อชมกีฬาที่มีคุณภาพ</w:t>
      </w:r>
    </w:p>
    <w:p w14:paraId="58684851" w14:textId="33AB32C1" w:rsidR="00106218" w:rsidRDefault="00106218"/>
    <w:p w14:paraId="49C6E78F" w14:textId="43C9E4D3" w:rsidR="00106218" w:rsidRDefault="00106218">
      <w:pPr>
        <w:rPr>
          <w:rFonts w:hint="cs"/>
        </w:rPr>
      </w:pPr>
      <w:r>
        <w:rPr>
          <w:rFonts w:hint="cs"/>
          <w:cs/>
        </w:rPr>
        <w:t xml:space="preserve">ที่มา </w:t>
      </w:r>
      <w:r>
        <w:t xml:space="preserve">: </w:t>
      </w:r>
      <w:r>
        <w:rPr>
          <w:rFonts w:hint="cs"/>
          <w:cs/>
        </w:rPr>
        <w:t xml:space="preserve"> </w:t>
      </w:r>
      <w:r w:rsidRPr="00106218">
        <w:rPr>
          <w:rFonts w:cs="Cordia New"/>
          <w:cs/>
        </w:rPr>
        <w:t>รายงานผลข้อมูลตามตัวชี้วัด ตามแผนแม่บทภายใต้ยุทธศาสตร์ชาติ ประเด็นการท่องเที่ยว</w:t>
      </w:r>
      <w:r>
        <w:rPr>
          <w:rFonts w:cs="Cordia New" w:hint="cs"/>
          <w:cs/>
        </w:rPr>
        <w:t>, สำนักงานปลัดกระทรวงการท่องเที่ยวและกีฬา</w:t>
      </w:r>
      <w:r w:rsidR="00756C72">
        <w:rPr>
          <w:rFonts w:cs="Cordia New"/>
        </w:rPr>
        <w:t>,</w:t>
      </w:r>
      <w:r>
        <w:rPr>
          <w:rFonts w:cs="Cordia New" w:hint="cs"/>
          <w:cs/>
        </w:rPr>
        <w:t xml:space="preserve"> มกราคม 2565</w:t>
      </w:r>
    </w:p>
    <w:sectPr w:rsidR="001062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18"/>
    <w:rsid w:val="00106218"/>
    <w:rsid w:val="0075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9F34E"/>
  <w15:chartTrackingRefBased/>
  <w15:docId w15:val="{EACD22B2-6302-4E20-A844-C3547D3A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218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Tanajuta</dc:creator>
  <cp:keywords/>
  <dc:description/>
  <cp:lastModifiedBy>Tanajuta</cp:lastModifiedBy>
  <cp:revision>2</cp:revision>
  <dcterms:created xsi:type="dcterms:W3CDTF">2022-08-24T02:57:00Z</dcterms:created>
  <dcterms:modified xsi:type="dcterms:W3CDTF">2022-08-24T02:59:00Z</dcterms:modified>
</cp:coreProperties>
</file>